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不扰民同意书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《中华人民共和国物权法》第七十七条规定：业主不得违反法律、法规以及管理规约，将住宅改变为经营性住房。业主将住宅改变为经营性用房的，除遵守法律、法规以及管理规约外，应当经有利害关系的业主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本企业（公司）将住宅作为经营性用房，作出如下承诺：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知悉《中华人民共和国物权法》的相关规定；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遵守有关房屋管理的法律、法规以及管理规约的规定；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已经有利害关系的业主同意。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申请人签字（盖章）：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兹同意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XXXXXXXXXX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公司将位于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XXXXXXXXXX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住宅作为办公场所使用，不存在扰民现象。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利害关系业主签字：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36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w w:val="96"/>
          <w:sz w:val="28"/>
          <w:szCs w:val="28"/>
          <w:lang w:val="en-US" w:eastAsia="zh-CN"/>
        </w:rPr>
        <w:t xml:space="preserve">                       内蒙古xxx商贸有限责任公司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x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年x月x日</w:t>
      </w:r>
    </w:p>
    <w:p/>
    <w:sectPr>
      <w:pgSz w:w="11906" w:h="16838"/>
      <w:pgMar w:top="1474" w:right="1689" w:bottom="158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02A8C"/>
    <w:multiLevelType w:val="singleLevel"/>
    <w:tmpl w:val="FD302A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62D77"/>
    <w:rsid w:val="6DE25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韩宇宏</cp:lastModifiedBy>
  <dcterms:modified xsi:type="dcterms:W3CDTF">2019-07-10T07:01:01Z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