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仿宋" w:hAnsi="华文仿宋" w:eastAsia="华文仿宋" w:cs="华文仿宋"/>
          <w:b/>
          <w:bCs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28"/>
          <w:szCs w:val="28"/>
          <w:lang w:val="en-US" w:eastAsia="zh-CN"/>
        </w:rPr>
        <w:t>简易注销</w:t>
      </w:r>
    </w:p>
    <w:p>
      <w:pP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28"/>
          <w:szCs w:val="28"/>
          <w:lang w:val="en-US" w:eastAsia="zh-CN"/>
        </w:rPr>
        <w:t>需符合以下</w:t>
      </w:r>
      <w:bookmarkStart w:id="0" w:name="_GoBack"/>
      <w:bookmarkEnd w:id="0"/>
      <w:r>
        <w:rPr>
          <w:rFonts w:hint="eastAsia" w:ascii="华文仿宋" w:hAnsi="华文仿宋" w:eastAsia="华文仿宋" w:cs="华文仿宋"/>
          <w:b/>
          <w:bCs/>
          <w:sz w:val="28"/>
          <w:szCs w:val="28"/>
          <w:lang w:val="en-US" w:eastAsia="zh-CN"/>
        </w:rPr>
        <w:t>条件：</w:t>
      </w:r>
    </w:p>
    <w:p>
      <w:pP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领取营业执照后未开展经营活动、申请注销登记前未发生债权债务或已将债权债务清算完结。可自主选择使用一般注销程序或简易注销程序。</w:t>
      </w:r>
    </w:p>
    <w:p>
      <w:pP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</w:p>
    <w:p>
      <w:pPr>
        <w:rPr>
          <w:rFonts w:hint="eastAsia" w:ascii="华文仿宋" w:hAnsi="华文仿宋" w:eastAsia="华文仿宋" w:cs="华文仿宋"/>
          <w:b/>
          <w:bCs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28"/>
          <w:szCs w:val="28"/>
          <w:lang w:val="en-US" w:eastAsia="zh-CN"/>
        </w:rPr>
        <w:t>不适用简易注销：</w:t>
      </w:r>
    </w:p>
    <w:p>
      <w:pPr>
        <w:numPr>
          <w:ilvl w:val="0"/>
          <w:numId w:val="1"/>
        </w:numP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存在股权（投资权益）被冻结，出质或动产抵押等情形；</w:t>
      </w:r>
    </w:p>
    <w:p>
      <w:pPr>
        <w:numPr>
          <w:ilvl w:val="0"/>
          <w:numId w:val="1"/>
        </w:numP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有正在被立案调查或采取行政强制，司法协助、被予以行政处罚等情形的；</w:t>
      </w:r>
    </w:p>
    <w:p>
      <w:pPr>
        <w:numPr>
          <w:ilvl w:val="0"/>
          <w:numId w:val="1"/>
        </w:numP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企业所属的非法人分支机构为办理注销登记。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B98D9"/>
    <w:multiLevelType w:val="singleLevel"/>
    <w:tmpl w:val="592B98D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DF38E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sme</dc:creator>
  <cp:lastModifiedBy>sme</cp:lastModifiedBy>
  <dcterms:modified xsi:type="dcterms:W3CDTF">2017-05-29T03:44:30Z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