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不扰民同意书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中华人民共和国物权法》第七十七条规定：业主不得违反法律、法规以及管理规约，将住宅改变为经营性住房。业主将住宅改变为经营性用房的，除遵守法律、法规以及管理规约外，应当经有利害关系的业主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本企业（公司）将住宅作为经营性用房，作出如下承诺：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知悉《中华人民共和国物权法》的相关规定；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遵守有关房屋管理的法律、法规以及管理规约的规定；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已经有利害关系的业主同意。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申请人签字（盖章）：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兹同意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公司将位于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住宅作为办公场所使用，不存在扰民现象。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利害关系业主签字：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XXXXXXXXXXXXXX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2019年x月x日</w:t>
      </w:r>
    </w:p>
    <w:p/>
    <w:sectPr>
      <w:pgSz w:w="11906" w:h="16838"/>
      <w:pgMar w:top="1474" w:right="1689" w:bottom="158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02A8C"/>
    <w:multiLevelType w:val="singleLevel"/>
    <w:tmpl w:val="FD302A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62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2019-07-09T03:20:52Z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