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/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场地租赁协议书</w:t>
      </w: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（</w:t>
      </w:r>
      <w:r>
        <w:rPr>
          <w:rFonts w:hint="eastAsia"/>
          <w:sz w:val="48"/>
          <w:szCs w:val="48"/>
        </w:rPr>
        <w:t>复印件</w:t>
      </w:r>
      <w:r>
        <w:rPr>
          <w:rFonts w:hint="eastAsia"/>
          <w:sz w:val="48"/>
          <w:szCs w:val="48"/>
          <w:lang w:eastAsia="zh-CN"/>
        </w:rPr>
        <w:t>）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如产权为住宅则需提交不扰民证明，如产权为商业则不需提交不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扰民证明。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82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艸</cp:lastModifiedBy>
  <dcterms:modified xsi:type="dcterms:W3CDTF">2019-07-09T02:46:17Z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