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温馨提示</w:t>
      </w:r>
    </w:p>
    <w:p>
      <w:pPr>
        <w:jc w:val="left"/>
        <w:rPr>
          <w:rFonts w:hint="eastAsia" w:ascii="宋体"/>
          <w:szCs w:val="21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尊敬的纳税人：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请您在发布简易注销公告前，认真阅读、了解以下内容：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一、如果您已开展生产经营活动，请您及时到税务机关结清应纳税款、缴销发票及办理其他清税手续。如果您在公告期届满时未完成注销清税手续的，税务机关将向企业登记机关提出异议。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二、按照企业简易注销登记改革相关规定，自公告期届满次日起，未被提出异议的企业，除应尽未尽的义务外（如申报纳税），不得持营业执照办理相关涉税事宜。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符合以下情形的企业，可正常办理涉税事宜：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（一）已撤销简易注销公告的；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（二）已向企业登记机关提出简易注销申请，企业登记机关依法作出不予简易注销决定的。</w:t>
      </w:r>
    </w:p>
    <w:p>
      <w:pPr>
        <w:ind w:firstLine="5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如果您在办理简易注销过程中有任何疑问，请与您的主管税务机关或者企业登记机关联系。</w:t>
      </w:r>
    </w:p>
    <w:p>
      <w:pPr>
        <w:spacing w:line="36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243E"/>
    <w:rsid w:val="1777106A"/>
    <w:rsid w:val="25B324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2018-01-23T06:28:00Z</dcterms:created>
  <dc:creator>user</dc:creator>
  <cp:lastModifiedBy>NTKO</cp:lastModifiedBy>
  <dcterms:modified xsi:type="dcterms:W3CDTF">2018-01-24T08:05:08Z</dcterms:modified>
  <dc:title>附件3            温馨提示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